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3/SE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in den Teilorten Ober-/Unterberken in Schorndor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sarbeiten in geschlossener Bauweis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